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6311F" w14:textId="77777777" w:rsidR="005F24C4" w:rsidRPr="005F24C4" w:rsidRDefault="005F24C4" w:rsidP="005F24C4">
      <w:pPr>
        <w:spacing w:before="100" w:beforeAutospacing="1" w:after="100" w:afterAutospacing="1" w:line="300" w:lineRule="atLeast"/>
        <w:outlineLvl w:val="0"/>
        <w:rPr>
          <w:rFonts w:eastAsia="Times New Roman" w:cs="Segoe UI"/>
          <w:b/>
          <w:bCs/>
          <w:kern w:val="36"/>
          <w:lang w:eastAsia="en-GB"/>
          <w14:ligatures w14:val="none"/>
        </w:rPr>
      </w:pPr>
      <w:r w:rsidRPr="005F24C4">
        <w:rPr>
          <w:rFonts w:eastAsia="Times New Roman" w:cs="Segoe UI"/>
          <w:b/>
          <w:bCs/>
          <w:kern w:val="36"/>
          <w:lang w:eastAsia="en-GB"/>
          <w14:ligatures w14:val="none"/>
        </w:rPr>
        <w:t>Frequently Asked Questions</w:t>
      </w:r>
    </w:p>
    <w:p w14:paraId="56272895" w14:textId="77777777"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How will the project be institutionally hosted?</w:t>
      </w:r>
    </w:p>
    <w:p w14:paraId="374CD06B" w14:textId="6C57C9A0"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The project is being led by the </w:t>
      </w:r>
      <w:r>
        <w:rPr>
          <w:rFonts w:eastAsia="Times New Roman" w:cs="Segoe UI"/>
          <w:kern w:val="0"/>
          <w:lang w:eastAsia="en-GB"/>
          <w14:ligatures w14:val="none"/>
        </w:rPr>
        <w:t>Religious Education Council of England and Wales.</w:t>
      </w:r>
      <w:r w:rsidRPr="005F24C4">
        <w:rPr>
          <w:rFonts w:eastAsia="Times New Roman" w:cs="Segoe UI"/>
          <w:kern w:val="0"/>
          <w:lang w:eastAsia="en-GB"/>
          <w14:ligatures w14:val="none"/>
        </w:rPr>
        <w:t xml:space="preserve"> The final institutional arrangements will depend partly on the appointment made and on funding confirmation. The tender is intentionally open to university-based academics, independent researchers, consultants, research organisations, or joint Co-Investigator teams. </w:t>
      </w:r>
    </w:p>
    <w:p w14:paraId="18E46F1E" w14:textId="77777777"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The REC anticipates working in partnership with universities, schools and other sector organisations. The contractual model may involve:</w:t>
      </w:r>
    </w:p>
    <w:p w14:paraId="0E878800" w14:textId="77777777" w:rsidR="005F24C4" w:rsidRPr="005F24C4" w:rsidRDefault="005F24C4" w:rsidP="005F24C4">
      <w:pPr>
        <w:numPr>
          <w:ilvl w:val="0"/>
          <w:numId w:val="1"/>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 contract with a university or higher education institution;</w:t>
      </w:r>
    </w:p>
    <w:p w14:paraId="00792106" w14:textId="77777777" w:rsidR="005F24C4" w:rsidRPr="005F24C4" w:rsidRDefault="005F24C4" w:rsidP="005F24C4">
      <w:pPr>
        <w:numPr>
          <w:ilvl w:val="0"/>
          <w:numId w:val="1"/>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 consultancy contract with an independent researcher or research organisation with university affiliation; or</w:t>
      </w:r>
    </w:p>
    <w:p w14:paraId="41F49F6C" w14:textId="6E84F092" w:rsidR="005F24C4" w:rsidRPr="005F24C4" w:rsidRDefault="005F24C4" w:rsidP="005F24C4">
      <w:pPr>
        <w:numPr>
          <w:ilvl w:val="0"/>
          <w:numId w:val="1"/>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a joint contractual arrangement where two Co-Investigators are appointed. </w:t>
      </w:r>
    </w:p>
    <w:p w14:paraId="479F4F74" w14:textId="3350BA36"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The precise hosting and governance arrangements for the project team would therefore be agreed with the successful applicant(s) following appointment and funding confirmation. </w:t>
      </w:r>
    </w:p>
    <w:p w14:paraId="45B7E0D1" w14:textId="77777777"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Where will the postdoctoral researcher and other project team members be based?</w:t>
      </w:r>
    </w:p>
    <w:p w14:paraId="3A389D4C" w14:textId="77777777"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The project documentation identifies an anticipated team including:</w:t>
      </w:r>
    </w:p>
    <w:p w14:paraId="28F7519D" w14:textId="77777777" w:rsidR="005F24C4" w:rsidRPr="005F24C4" w:rsidRDefault="005F24C4" w:rsidP="005F24C4">
      <w:pPr>
        <w:numPr>
          <w:ilvl w:val="0"/>
          <w:numId w:val="2"/>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 Principal Investigator (0.2 FTE);</w:t>
      </w:r>
    </w:p>
    <w:p w14:paraId="3302C82E" w14:textId="77777777" w:rsidR="005F24C4" w:rsidRPr="005F24C4" w:rsidRDefault="005F24C4" w:rsidP="005F24C4">
      <w:pPr>
        <w:numPr>
          <w:ilvl w:val="0"/>
          <w:numId w:val="2"/>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 Co-Investigator Adviser (0.2 FTE);</w:t>
      </w:r>
    </w:p>
    <w:p w14:paraId="0CC665E1" w14:textId="77777777" w:rsidR="005F24C4" w:rsidRPr="005F24C4" w:rsidRDefault="005F24C4" w:rsidP="005F24C4">
      <w:pPr>
        <w:numPr>
          <w:ilvl w:val="0"/>
          <w:numId w:val="2"/>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 Co-Investigator Teacher/Practitioner (0.2 FTE);</w:t>
      </w:r>
    </w:p>
    <w:p w14:paraId="323F220F" w14:textId="77777777" w:rsidR="005F24C4" w:rsidRPr="005F24C4" w:rsidRDefault="005F24C4" w:rsidP="005F24C4">
      <w:pPr>
        <w:numPr>
          <w:ilvl w:val="0"/>
          <w:numId w:val="2"/>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 postdoctoral researcher (0.5 FTE); and</w:t>
      </w:r>
    </w:p>
    <w:p w14:paraId="3B0A7191" w14:textId="3B048ABA" w:rsidR="005F24C4" w:rsidRPr="005F24C4" w:rsidRDefault="005F24C4" w:rsidP="005F24C4">
      <w:pPr>
        <w:numPr>
          <w:ilvl w:val="0"/>
          <w:numId w:val="2"/>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practitioner partners and advisory groups. </w:t>
      </w:r>
    </w:p>
    <w:p w14:paraId="1AB39288" w14:textId="384AC4A2"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At this stage, the tender does not prescribe institutional affiliations for these roles. The expectation is that the successful Principal Investigator will help shape the final model for team leadership, supervision and delivery as part of the project design phase. </w:t>
      </w:r>
    </w:p>
    <w:p w14:paraId="59961761" w14:textId="43F94F03"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For university-based applicants, we recognise that line management, ethics processes, legal responsibilities, data governance and collaborative working arrangements are often most effectively handled through established university systems. We would therefore expect institutional arrangements to be discussed and agreed as part of project inception and contractual negotiations. </w:t>
      </w:r>
    </w:p>
    <w:p w14:paraId="6E0BDAB3" w14:textId="033DFF7D"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Why does the tender refer to theology, philosophy, history and the social sciences?</w:t>
      </w:r>
    </w:p>
    <w:p w14:paraId="57D1E589" w14:textId="17263BD2"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The wording reflects the current project concept, which focuses on four disciplinary traditions: theology, philosophy, history and the human/social sciences. </w:t>
      </w:r>
      <w:hyperlink r:id="rId5" w:history="1"/>
      <w:r w:rsidRPr="005F24C4">
        <w:rPr>
          <w:rFonts w:eastAsia="Times New Roman" w:cs="Segoe UI"/>
          <w:kern w:val="0"/>
          <w:lang w:eastAsia="en-GB"/>
          <w14:ligatures w14:val="none"/>
        </w:rPr>
        <w:t xml:space="preserve"> </w:t>
      </w:r>
    </w:p>
    <w:p w14:paraId="2A5F90D0" w14:textId="30D1A58E"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lastRenderedPageBreak/>
        <w:t xml:space="preserve">However, the REC recognises that Religious Education and Religion and Worldviews Education have been shaped significantly by scholarship from Religious Studies, Study of Religions and related interdisciplinary traditions. The tender also explicitly seeks applicants with expertise in Religious Education, Religion and Worldviews Education, religious studies, theology, philosophy of education and related fields. </w:t>
      </w:r>
    </w:p>
    <w:p w14:paraId="41E5E7FC" w14:textId="7EDEFB21"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The successful Principal Investigator will be expected to bring appropriate scholarly expertise to the project and help refine the theoretical framework. Questions about how Religious Studies contributes to disciplinary knowledge in RE/RW would therefore be entirely appropriate for applicants to address within their proposals. </w:t>
      </w:r>
    </w:p>
    <w:p w14:paraId="2C0173C8" w14:textId="77777777"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Does the role require unpaid work before funding is secured?</w:t>
      </w:r>
    </w:p>
    <w:p w14:paraId="4EC39333" w14:textId="30D58F0A"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No appointment will be made until funding has been confirmed. The tender states clearly that the appointment is subject to funding confirmation and final contractual agreement. </w:t>
      </w:r>
    </w:p>
    <w:p w14:paraId="3FF2F9AC" w14:textId="0BDD3818"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Applicants are being asked to submit a proposal and participate in an interview process during autumn 2026. This process is intended to identify a preferred Principal Investigator who would be well placed to lead the project if funding is approved. </w:t>
      </w:r>
    </w:p>
    <w:p w14:paraId="128D220D" w14:textId="5610C635"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The expectation is not that substantial unpaid project work would be undertaken before funding approval. However, shortlisted applicants should be aware that there may be discussions around project design, delivery models and grant development during the funding process. Further details of the funding process will be shared with shortlisted candidates. Renumeration for any substantial time given to the grant application </w:t>
      </w:r>
      <w:r>
        <w:rPr>
          <w:rFonts w:eastAsia="Times New Roman" w:cs="Segoe UI"/>
          <w:kern w:val="0"/>
          <w:lang w:eastAsia="en-GB"/>
          <w14:ligatures w14:val="none"/>
        </w:rPr>
        <w:t xml:space="preserve">process </w:t>
      </w:r>
      <w:r w:rsidRPr="005F24C4">
        <w:rPr>
          <w:rFonts w:eastAsia="Times New Roman" w:cs="Segoe UI"/>
          <w:kern w:val="0"/>
          <w:lang w:eastAsia="en-GB"/>
          <w14:ligatures w14:val="none"/>
        </w:rPr>
        <w:t xml:space="preserve">will of course be considered. </w:t>
      </w:r>
    </w:p>
    <w:p w14:paraId="4B600D63" w14:textId="77777777"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What is the anticipated timeline?</w:t>
      </w:r>
    </w:p>
    <w:p w14:paraId="3EEE5F70" w14:textId="77777777"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The tender documents indicate:</w:t>
      </w:r>
    </w:p>
    <w:p w14:paraId="59D028AC" w14:textId="77777777" w:rsidR="005F24C4" w:rsidRPr="005F24C4" w:rsidRDefault="005F24C4" w:rsidP="005F24C4">
      <w:pPr>
        <w:numPr>
          <w:ilvl w:val="0"/>
          <w:numId w:val="3"/>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Applications due: 30 September 2026.</w:t>
      </w:r>
    </w:p>
    <w:p w14:paraId="21B53849" w14:textId="77777777" w:rsidR="005F24C4" w:rsidRPr="005F24C4" w:rsidRDefault="005F24C4" w:rsidP="005F24C4">
      <w:pPr>
        <w:numPr>
          <w:ilvl w:val="0"/>
          <w:numId w:val="3"/>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Interviews: early October 2026.</w:t>
      </w:r>
    </w:p>
    <w:p w14:paraId="403D0E47" w14:textId="77777777" w:rsidR="005F24C4" w:rsidRPr="005F24C4" w:rsidRDefault="005F24C4" w:rsidP="005F24C4">
      <w:pPr>
        <w:numPr>
          <w:ilvl w:val="0"/>
          <w:numId w:val="3"/>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Funding decision and contractual arrangements: subject to funder processes.</w:t>
      </w:r>
    </w:p>
    <w:p w14:paraId="015997C2" w14:textId="6D97E924" w:rsidR="005F24C4" w:rsidRPr="005F24C4" w:rsidRDefault="005F24C4" w:rsidP="005F24C4">
      <w:pPr>
        <w:numPr>
          <w:ilvl w:val="0"/>
          <w:numId w:val="3"/>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Intended project start: Around September 2027 and flexibility acknowledged. </w:t>
      </w:r>
    </w:p>
    <w:p w14:paraId="0826D10F" w14:textId="348FEC56"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We recognise that university approval processes, costings and contracting arrangements can require significant lead-in time. Applicants should therefore indicate any institutional constraints or timetable considerations within their proposal. </w:t>
      </w:r>
      <w:hyperlink r:id="rId6" w:history="1"/>
      <w:r w:rsidRPr="005F24C4">
        <w:rPr>
          <w:rFonts w:eastAsia="Times New Roman" w:cs="Segoe UI"/>
          <w:kern w:val="0"/>
          <w:lang w:eastAsia="en-GB"/>
          <w14:ligatures w14:val="none"/>
        </w:rPr>
        <w:t xml:space="preserve"> </w:t>
      </w:r>
    </w:p>
    <w:p w14:paraId="542EF461" w14:textId="5C90C827"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Is the budget realistic for a university-based Principal Investigator?</w:t>
      </w:r>
    </w:p>
    <w:p w14:paraId="28621577" w14:textId="2613319D"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The tender identifies a notional allocation of 0.2 FTE over 24 months and a proposed budget of £60,000</w:t>
      </w:r>
      <w:r w:rsidR="00C52357">
        <w:rPr>
          <w:rFonts w:eastAsia="Times New Roman" w:cs="Segoe UI"/>
          <w:kern w:val="0"/>
          <w:lang w:eastAsia="en-GB"/>
          <w14:ligatures w14:val="none"/>
        </w:rPr>
        <w:t>, for the Principal Investigator only. Additional funds will be allocated to support the rest of the project.</w:t>
      </w:r>
    </w:p>
    <w:p w14:paraId="55DE431B" w14:textId="60F2FDF2"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Recognising that institutional costs vary considerably, applicants are explicitly invited to submit a transparent costed proposal, including salary buy-out, consultancy fees, university overheads and any alternative delivery model they believe would better achieve the project's aims. </w:t>
      </w:r>
    </w:p>
    <w:p w14:paraId="745725EB" w14:textId="62D5FDCD"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The REC welcomes feedback on affordability and deliverability and will consider proposed models as part of the assessment process. </w:t>
      </w:r>
    </w:p>
    <w:p w14:paraId="4E56A8DF" w14:textId="77777777" w:rsidR="005F24C4" w:rsidRPr="005F24C4" w:rsidRDefault="005F24C4" w:rsidP="005F24C4">
      <w:pPr>
        <w:spacing w:before="100" w:beforeAutospacing="1" w:after="100" w:afterAutospacing="1" w:line="300" w:lineRule="atLeast"/>
        <w:outlineLvl w:val="1"/>
        <w:rPr>
          <w:rFonts w:eastAsia="Times New Roman" w:cs="Segoe UI"/>
          <w:b/>
          <w:bCs/>
          <w:kern w:val="0"/>
          <w:lang w:eastAsia="en-GB"/>
          <w14:ligatures w14:val="none"/>
        </w:rPr>
      </w:pPr>
      <w:r w:rsidRPr="005F24C4">
        <w:rPr>
          <w:rFonts w:eastAsia="Times New Roman" w:cs="Segoe UI"/>
          <w:b/>
          <w:bCs/>
          <w:kern w:val="0"/>
          <w:lang w:eastAsia="en-GB"/>
          <w14:ligatures w14:val="none"/>
        </w:rPr>
        <w:t>Can applicants propose alternative team structures or partnership arrangements?</w:t>
      </w:r>
    </w:p>
    <w:p w14:paraId="6D9960A1" w14:textId="77777777"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Yes. The tender allows for:</w:t>
      </w:r>
    </w:p>
    <w:p w14:paraId="301CF6BA" w14:textId="77777777" w:rsidR="005F24C4" w:rsidRPr="005F24C4" w:rsidRDefault="005F24C4" w:rsidP="005F24C4">
      <w:pPr>
        <w:numPr>
          <w:ilvl w:val="0"/>
          <w:numId w:val="4"/>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joint Co-Investigator applications;</w:t>
      </w:r>
    </w:p>
    <w:p w14:paraId="6232092C" w14:textId="77777777" w:rsidR="005F24C4" w:rsidRPr="005F24C4" w:rsidRDefault="005F24C4" w:rsidP="005F24C4">
      <w:pPr>
        <w:numPr>
          <w:ilvl w:val="0"/>
          <w:numId w:val="4"/>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university-based or non-university-based leadership;</w:t>
      </w:r>
    </w:p>
    <w:p w14:paraId="3496C164" w14:textId="77777777" w:rsidR="005F24C4" w:rsidRPr="005F24C4" w:rsidRDefault="005F24C4" w:rsidP="005F24C4">
      <w:pPr>
        <w:numPr>
          <w:ilvl w:val="0"/>
          <w:numId w:val="4"/>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alternative costed delivery models;</w:t>
      </w:r>
    </w:p>
    <w:p w14:paraId="1685DC18" w14:textId="46767C10" w:rsidR="005F24C4" w:rsidRPr="005F24C4" w:rsidRDefault="005F24C4" w:rsidP="005F24C4">
      <w:pPr>
        <w:numPr>
          <w:ilvl w:val="0"/>
          <w:numId w:val="4"/>
        </w:num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different approaches to allocating responsibility across project partners. </w:t>
      </w:r>
    </w:p>
    <w:p w14:paraId="28593221" w14:textId="4A823C71"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Applicants are encouraged to explain how they would manage supervision, governance, ethics, stakeholder engagement and project delivery. Where a university-based structure offers advantages in relation to line management, research governance, data management or team collaboration, this should be clearly articulated in the proposal. </w:t>
      </w:r>
    </w:p>
    <w:p w14:paraId="00E4D251" w14:textId="01559199" w:rsidR="005F24C4" w:rsidRPr="005F24C4" w:rsidRDefault="005F24C4" w:rsidP="005F24C4">
      <w:pPr>
        <w:spacing w:before="100" w:beforeAutospacing="1" w:after="100" w:afterAutospacing="1" w:line="300" w:lineRule="atLeast"/>
        <w:rPr>
          <w:rFonts w:eastAsia="Times New Roman" w:cs="Segoe UI"/>
          <w:kern w:val="0"/>
          <w:lang w:eastAsia="en-GB"/>
          <w14:ligatures w14:val="none"/>
        </w:rPr>
      </w:pPr>
      <w:r w:rsidRPr="005F24C4">
        <w:rPr>
          <w:rFonts w:eastAsia="Times New Roman" w:cs="Segoe UI"/>
          <w:kern w:val="0"/>
          <w:lang w:eastAsia="en-GB"/>
          <w14:ligatures w14:val="none"/>
        </w:rPr>
        <w:t xml:space="preserve">In short, the tender sets out the intended research outcomes and broad team structure, but there remains flexibility for applicants to propose the institutional arrangements they believe will best support successful delivery of the project. </w:t>
      </w:r>
    </w:p>
    <w:p w14:paraId="699CD3B1" w14:textId="77777777" w:rsidR="00051508" w:rsidRDefault="00051508"/>
    <w:sectPr w:rsidR="000515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41B7"/>
    <w:multiLevelType w:val="multilevel"/>
    <w:tmpl w:val="7B28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041A1"/>
    <w:multiLevelType w:val="multilevel"/>
    <w:tmpl w:val="1DFC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165A42"/>
    <w:multiLevelType w:val="multilevel"/>
    <w:tmpl w:val="AD3C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5842FB"/>
    <w:multiLevelType w:val="multilevel"/>
    <w:tmpl w:val="CFBE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3077765">
    <w:abstractNumId w:val="0"/>
  </w:num>
  <w:num w:numId="2" w16cid:durableId="1681929102">
    <w:abstractNumId w:val="3"/>
  </w:num>
  <w:num w:numId="3" w16cid:durableId="27923589">
    <w:abstractNumId w:val="1"/>
  </w:num>
  <w:num w:numId="4" w16cid:durableId="1588346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4C4"/>
    <w:rsid w:val="00051508"/>
    <w:rsid w:val="005F24C4"/>
    <w:rsid w:val="007C379D"/>
    <w:rsid w:val="009910F8"/>
    <w:rsid w:val="00992950"/>
    <w:rsid w:val="00B70EF4"/>
    <w:rsid w:val="00C52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CF85"/>
  <w15:chartTrackingRefBased/>
  <w15:docId w15:val="{7EF4847C-5BA0-9046-AD18-9EB2D70D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2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4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4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4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4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2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4C4"/>
    <w:rPr>
      <w:rFonts w:eastAsiaTheme="majorEastAsia" w:cstheme="majorBidi"/>
      <w:color w:val="272727" w:themeColor="text1" w:themeTint="D8"/>
    </w:rPr>
  </w:style>
  <w:style w:type="paragraph" w:styleId="Title">
    <w:name w:val="Title"/>
    <w:basedOn w:val="Normal"/>
    <w:next w:val="Normal"/>
    <w:link w:val="TitleChar"/>
    <w:uiPriority w:val="10"/>
    <w:qFormat/>
    <w:rsid w:val="005F24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4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4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24C4"/>
    <w:rPr>
      <w:i/>
      <w:iCs/>
      <w:color w:val="404040" w:themeColor="text1" w:themeTint="BF"/>
    </w:rPr>
  </w:style>
  <w:style w:type="paragraph" w:styleId="ListParagraph">
    <w:name w:val="List Paragraph"/>
    <w:basedOn w:val="Normal"/>
    <w:uiPriority w:val="34"/>
    <w:qFormat/>
    <w:rsid w:val="005F24C4"/>
    <w:pPr>
      <w:ind w:left="720"/>
      <w:contextualSpacing/>
    </w:pPr>
  </w:style>
  <w:style w:type="character" w:styleId="IntenseEmphasis">
    <w:name w:val="Intense Emphasis"/>
    <w:basedOn w:val="DefaultParagraphFont"/>
    <w:uiPriority w:val="21"/>
    <w:qFormat/>
    <w:rsid w:val="005F24C4"/>
    <w:rPr>
      <w:i/>
      <w:iCs/>
      <w:color w:val="0F4761" w:themeColor="accent1" w:themeShade="BF"/>
    </w:rPr>
  </w:style>
  <w:style w:type="paragraph" w:styleId="IntenseQuote">
    <w:name w:val="Intense Quote"/>
    <w:basedOn w:val="Normal"/>
    <w:next w:val="Normal"/>
    <w:link w:val="IntenseQuoteChar"/>
    <w:uiPriority w:val="30"/>
    <w:qFormat/>
    <w:rsid w:val="005F2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4C4"/>
    <w:rPr>
      <w:i/>
      <w:iCs/>
      <w:color w:val="0F4761" w:themeColor="accent1" w:themeShade="BF"/>
    </w:rPr>
  </w:style>
  <w:style w:type="character" w:styleId="IntenseReference">
    <w:name w:val="Intense Reference"/>
    <w:basedOn w:val="DefaultParagraphFont"/>
    <w:uiPriority w:val="32"/>
    <w:qFormat/>
    <w:rsid w:val="005F24C4"/>
    <w:rPr>
      <w:b/>
      <w:bCs/>
      <w:smallCaps/>
      <w:color w:val="0F4761" w:themeColor="accent1" w:themeShade="BF"/>
      <w:spacing w:val="5"/>
    </w:rPr>
  </w:style>
  <w:style w:type="character" w:styleId="Hyperlink">
    <w:name w:val="Hyperlink"/>
    <w:basedOn w:val="DefaultParagraphFont"/>
    <w:uiPriority w:val="99"/>
    <w:semiHidden/>
    <w:unhideWhenUsed/>
    <w:rsid w:val="005F24C4"/>
    <w:rPr>
      <w:strike w:val="0"/>
      <w:dstrike w:val="0"/>
      <w:color w:val="464FEB"/>
      <w:u w:val="none"/>
      <w:effect w:val="none"/>
    </w:rPr>
  </w:style>
  <w:style w:type="paragraph" w:styleId="NormalWeb">
    <w:name w:val="Normal (Web)"/>
    <w:basedOn w:val="Normal"/>
    <w:uiPriority w:val="99"/>
    <w:semiHidden/>
    <w:unhideWhenUsed/>
    <w:rsid w:val="005F24C4"/>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lhamstgabriels-my.sharepoint.com/personal/ceo_cstg_org_uk/_layouts/15/Doc.aspx?sourcedoc=%7B9A1C4CB0-8CE6-42E2-8BAC-F3401D4193B0%7D&amp;file=Principal%20Investigator%20Role%20Description%20and%20Tender%20Specification.docx&amp;action=default&amp;mobileredirect=true" TargetMode="External"/><Relationship Id="rId5" Type="http://schemas.openxmlformats.org/officeDocument/2006/relationships/hyperlink" Target="https://culhamstgabriels-my.sharepoint.com/personal/ceo_cstg_org_uk/_layouts/15/Doc.aspx?sourcedoc=%7B9A1C4CB0-8CE6-42E2-8BAC-F3401D4193B0%7D&amp;file=Principal%20Investigator%20Role%20Description%20and%20Tender%20Specification.docx&amp;action=default&amp;mobileredirect=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986</Words>
  <Characters>5622</Characters>
  <Application>Microsoft Office Word</Application>
  <DocSecurity>0</DocSecurity>
  <Lines>46</Lines>
  <Paragraphs>13</Paragraphs>
  <ScaleCrop>false</ScaleCrop>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Wright</dc:creator>
  <cp:keywords/>
  <dc:description/>
  <cp:lastModifiedBy>Andrew Nottage</cp:lastModifiedBy>
  <cp:revision>3</cp:revision>
  <dcterms:created xsi:type="dcterms:W3CDTF">2026-09-14T14:27:00Z</dcterms:created>
  <dcterms:modified xsi:type="dcterms:W3CDTF">2026-09-21T14:41:00Z</dcterms:modified>
</cp:coreProperties>
</file>